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01F27" w:rsidP="005D0621">
            <w:pPr>
              <w:rPr>
                <w:b/>
              </w:rPr>
            </w:pPr>
            <w:r>
              <w:rPr>
                <w:b/>
              </w:rPr>
              <w:t>9</w:t>
            </w:r>
            <w:r w:rsidR="00BB6E1F">
              <w:rPr>
                <w:b/>
              </w:rPr>
              <w:t xml:space="preserve"> February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B6E1F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Financial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B6E1F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Capital Strategy 2017/18 – 2020/21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B6E1F" w:rsidP="00C33F64">
            <w:r>
              <w:t xml:space="preserve">To present the Capital </w:t>
            </w:r>
            <w:r w:rsidR="00C33F64">
              <w:t>S</w:t>
            </w:r>
            <w:r>
              <w:t>trategy for approval</w:t>
            </w:r>
            <w:r w:rsidR="00D5547E" w:rsidRPr="001356F1">
              <w:t>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B6E1F" w:rsidP="005F7F7E">
            <w:r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B03559">
            <w:r w:rsidRPr="001356F1">
              <w:t>C</w:t>
            </w:r>
            <w:r w:rsidR="00B03559">
              <w:t>llr</w:t>
            </w:r>
            <w:r w:rsidRPr="001356F1">
              <w:t xml:space="preserve"> </w:t>
            </w:r>
            <w:r w:rsidR="00BB6E1F">
              <w:t>Ed Turner</w:t>
            </w:r>
            <w:r w:rsidR="00B03559">
              <w:t>, Finance, Asset Management and Public Health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BB6E1F" w:rsidP="005F7F7E">
            <w:r>
              <w:t>Efficient and Effective Council</w:t>
            </w:r>
            <w:r w:rsidR="0080749A" w:rsidRPr="001356F1">
              <w:t>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847E99" w:rsidP="001B1033">
            <w:r>
              <w:t>None</w:t>
            </w:r>
            <w:bookmarkStart w:id="0" w:name="_GoBack"/>
            <w:bookmarkEnd w:id="0"/>
          </w:p>
        </w:tc>
      </w:tr>
      <w:tr w:rsidR="005F7F7E" w:rsidRPr="00975B07" w:rsidTr="00B03559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B03559" w:rsidP="004A6D2F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B03559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B03559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1356F1" w:rsidRDefault="00847E99" w:rsidP="002069B3">
            <w:r>
              <w:rPr>
                <w:rStyle w:val="Firstpagetablebold"/>
              </w:rPr>
              <w:t>Approve</w:t>
            </w:r>
            <w:r w:rsidR="00BB6E1F">
              <w:rPr>
                <w:rStyle w:val="Firstpagetablebold"/>
              </w:rPr>
              <w:t xml:space="preserve"> </w:t>
            </w:r>
            <w:r w:rsidR="00BB6E1F" w:rsidRPr="00B03559">
              <w:rPr>
                <w:rStyle w:val="Firstpagetablebold"/>
                <w:b w:val="0"/>
              </w:rPr>
              <w:t>the Capital Strategy attached at Appendix A</w:t>
            </w:r>
            <w:r w:rsidR="002069B3" w:rsidRPr="00B03559">
              <w:rPr>
                <w:b/>
              </w:rPr>
              <w:t>;</w:t>
            </w:r>
            <w:r w:rsidR="0030208D" w:rsidRPr="00B03559">
              <w:rPr>
                <w:b/>
              </w:rPr>
              <w:t xml:space="preserve"> 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BB6E1F" w:rsidP="004A6D2F">
            <w:r>
              <w:t>Appendix A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BB6E1F" w:rsidP="004A6D2F">
            <w:r>
              <w:t>Capital Strategy 2017/18 – 2020/21</w:t>
            </w:r>
          </w:p>
        </w:tc>
      </w:tr>
      <w:tr w:rsidR="00ED5860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B03559" w:rsidP="004A6D2F">
            <w:r>
              <w:t>Appendix B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B03559" w:rsidP="004A6D2F">
            <w:r>
              <w:t>Project Brief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975B07" w:rsidRDefault="00B03559" w:rsidP="004A6D2F">
            <w:r>
              <w:t>Appendix C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B6E1F" w:rsidRPr="001356F1" w:rsidRDefault="00B03559" w:rsidP="004A6D2F">
            <w:r>
              <w:t>Project Initiation Document</w:t>
            </w:r>
          </w:p>
        </w:tc>
      </w:tr>
      <w:tr w:rsidR="0030208D" w:rsidRPr="00975B07" w:rsidTr="00B03559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B6E1F" w:rsidRPr="00975B07" w:rsidRDefault="00B03559" w:rsidP="004A6D2F">
            <w:r>
              <w:t>Appendix D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B6E1F" w:rsidRPr="001356F1" w:rsidRDefault="00B03559" w:rsidP="004A6D2F">
            <w:r>
              <w:t>Monthly Monitoring Form</w:t>
            </w:r>
          </w:p>
        </w:tc>
      </w:tr>
      <w:tr w:rsidR="00B03559" w:rsidRPr="00975B07" w:rsidTr="00B03559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B03559" w:rsidRDefault="00B03559" w:rsidP="004A6D2F">
            <w:r>
              <w:t>Appendix E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03559" w:rsidRDefault="00B03559" w:rsidP="004A6D2F">
            <w:r>
              <w:t>Project Closure Statement</w:t>
            </w:r>
          </w:p>
        </w:tc>
      </w:tr>
      <w:tr w:rsidR="00B03559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3559" w:rsidRDefault="00B03559" w:rsidP="004A6D2F">
            <w:r>
              <w:t>Appendix F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03559" w:rsidRDefault="00B03559" w:rsidP="004A6D2F">
            <w:r>
              <w:t>Capital Gateway Process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BB6E1F" w:rsidRDefault="00BB6E1F" w:rsidP="005570B5">
      <w:pPr>
        <w:pStyle w:val="ListParagraph"/>
      </w:pPr>
      <w:r>
        <w:t>Paragraph 18.11 of the Council’s Constitution requires that a Capital Strategy is prepared which includes:</w:t>
      </w:r>
    </w:p>
    <w:p w:rsidR="00BB6E1F" w:rsidRDefault="00BB6E1F" w:rsidP="00BB6E1F">
      <w:pPr>
        <w:pStyle w:val="ListParagraph"/>
        <w:numPr>
          <w:ilvl w:val="1"/>
          <w:numId w:val="14"/>
        </w:numPr>
      </w:pPr>
      <w:r>
        <w:t>The principles the Council will follow in its capital planning and management;</w:t>
      </w:r>
    </w:p>
    <w:p w:rsidR="00BB6E1F" w:rsidRDefault="00BB6E1F" w:rsidP="00BB6E1F">
      <w:pPr>
        <w:pStyle w:val="ListParagraph"/>
        <w:numPr>
          <w:ilvl w:val="1"/>
          <w:numId w:val="14"/>
        </w:numPr>
      </w:pPr>
      <w:r>
        <w:t>The methodology for inclusion of schemes within the Capital Programme;</w:t>
      </w:r>
    </w:p>
    <w:p w:rsidR="00BB6E1F" w:rsidRDefault="00BB6E1F" w:rsidP="00BB6E1F">
      <w:pPr>
        <w:pStyle w:val="ListParagraph"/>
        <w:numPr>
          <w:ilvl w:val="1"/>
          <w:numId w:val="14"/>
        </w:numPr>
      </w:pPr>
      <w:r>
        <w:t>The arrangements for the effective management of capital schemes.</w:t>
      </w:r>
    </w:p>
    <w:p w:rsidR="00E87F7A" w:rsidRDefault="00BB6E1F" w:rsidP="005570B5">
      <w:pPr>
        <w:pStyle w:val="ListParagraph"/>
      </w:pPr>
      <w:r>
        <w:lastRenderedPageBreak/>
        <w:t>The Council continues to have a significant capital investment programme and has introduced a methodology for identifying, selecting and monitoring capital projects.  This is now</w:t>
      </w:r>
      <w:r w:rsidR="009B4319">
        <w:t xml:space="preserve"> embedded and </w:t>
      </w:r>
      <w:r>
        <w:t xml:space="preserve">working </w:t>
      </w:r>
      <w:r w:rsidR="009B4319">
        <w:t>effectively</w:t>
      </w:r>
      <w:r>
        <w:t xml:space="preserve"> a</w:t>
      </w:r>
      <w:r w:rsidR="00284ABD">
        <w:t>s</w:t>
      </w:r>
      <w:r>
        <w:t xml:space="preserve"> evidenced by the reduced slippage on capital schemes in the current financial year.</w:t>
      </w:r>
    </w:p>
    <w:p w:rsidR="00A3403D" w:rsidRDefault="00A3403D" w:rsidP="005570B5">
      <w:pPr>
        <w:pStyle w:val="ListParagraph"/>
      </w:pPr>
      <w:r>
        <w:t xml:space="preserve">The Council’s updated Capital Strategy, which is attached at Appendix </w:t>
      </w:r>
      <w:proofErr w:type="gramStart"/>
      <w:r>
        <w:t>A</w:t>
      </w:r>
      <w:proofErr w:type="gramEnd"/>
      <w:r>
        <w:t>, sets out the approval process for schemes getting into the Programme as well as the governance arrangements in place to manage delivery.</w:t>
      </w:r>
    </w:p>
    <w:p w:rsidR="00A3403D" w:rsidRPr="001356F1" w:rsidRDefault="00A3403D" w:rsidP="005570B5">
      <w:pPr>
        <w:pStyle w:val="ListParagraph"/>
      </w:pPr>
      <w:r>
        <w:t xml:space="preserve">The Strategy also sets out the various funding sources available for capital projects and how these might change over time.  It also aims to set out the issues the </w:t>
      </w:r>
      <w:r w:rsidR="00D751C2">
        <w:t>C</w:t>
      </w:r>
      <w:r>
        <w:t>ouncil needs to consider over the medium to long term.</w:t>
      </w:r>
    </w:p>
    <w:p w:rsidR="00633578" w:rsidRPr="001356F1" w:rsidRDefault="00A3403D" w:rsidP="00E87F7A">
      <w:pPr>
        <w:pStyle w:val="Heading1"/>
      </w:pPr>
      <w:r>
        <w:t>Changes Incorporated within the Strategy</w:t>
      </w:r>
    </w:p>
    <w:p w:rsidR="00E87F7A" w:rsidRDefault="00A0422A" w:rsidP="005570B5">
      <w:pPr>
        <w:pStyle w:val="bParagraphtext"/>
      </w:pPr>
      <w:r>
        <w:t>A</w:t>
      </w:r>
      <w:r w:rsidR="00A3403D">
        <w:t xml:space="preserve"> small number of changes </w:t>
      </w:r>
      <w:r>
        <w:t xml:space="preserve">are proposed within </w:t>
      </w:r>
      <w:r w:rsidR="00A3403D">
        <w:t>the Strategy at Appendix A, these are outlined below and are cross-referenced to the Strategy:</w:t>
      </w:r>
    </w:p>
    <w:p w:rsidR="00A3403D" w:rsidRPr="001356F1" w:rsidRDefault="00A3403D" w:rsidP="00B03559">
      <w:pPr>
        <w:pStyle w:val="Bulletpoints"/>
        <w:rPr>
          <w:rStyle w:val="ListParagraphChar"/>
        </w:rPr>
      </w:pPr>
      <w:r>
        <w:rPr>
          <w:rStyle w:val="ListParagraphChar"/>
        </w:rPr>
        <w:t xml:space="preserve">Membership of the Asset </w:t>
      </w:r>
      <w:r w:rsidR="00BB118B">
        <w:rPr>
          <w:rStyle w:val="ListParagraphChar"/>
        </w:rPr>
        <w:t>M</w:t>
      </w:r>
      <w:r>
        <w:rPr>
          <w:rStyle w:val="ListParagraphChar"/>
        </w:rPr>
        <w:t xml:space="preserve">anagement and Capital </w:t>
      </w:r>
      <w:r w:rsidR="00585033">
        <w:rPr>
          <w:rStyle w:val="ListParagraphChar"/>
        </w:rPr>
        <w:t xml:space="preserve">Programme </w:t>
      </w:r>
      <w:r>
        <w:rPr>
          <w:rStyle w:val="ListParagraphChar"/>
        </w:rPr>
        <w:t>Board has been updated to reflect changes in officers and organisational structure (Appendix A paragraph 10.5).</w:t>
      </w:r>
    </w:p>
    <w:p w:rsidR="00E87F7A" w:rsidRDefault="00585033" w:rsidP="00B03559">
      <w:pPr>
        <w:pStyle w:val="Bulletpoints"/>
      </w:pPr>
      <w:r>
        <w:t xml:space="preserve">Reference to </w:t>
      </w:r>
      <w:r w:rsidR="00BB118B">
        <w:t>n</w:t>
      </w:r>
      <w:r w:rsidR="00C2622C">
        <w:t xml:space="preserve">ew </w:t>
      </w:r>
      <w:r w:rsidR="00BB118B">
        <w:t>d</w:t>
      </w:r>
      <w:r w:rsidR="00C2622C">
        <w:t xml:space="preserve">elivery </w:t>
      </w:r>
      <w:r w:rsidR="00BB118B">
        <w:t>m</w:t>
      </w:r>
      <w:r w:rsidR="00C2622C">
        <w:t xml:space="preserve">odels </w:t>
      </w:r>
      <w:r w:rsidR="00A3403D">
        <w:t>and the imp</w:t>
      </w:r>
      <w:r>
        <w:t xml:space="preserve">lications for the </w:t>
      </w:r>
      <w:r w:rsidR="00BB118B">
        <w:t>S</w:t>
      </w:r>
      <w:r w:rsidR="00A3403D">
        <w:t>trategy.</w:t>
      </w:r>
      <w:r w:rsidR="00963E67">
        <w:t xml:space="preserve"> (Appendix A paragraph </w:t>
      </w:r>
      <w:r w:rsidR="00C2622C">
        <w:t>14</w:t>
      </w:r>
      <w:r w:rsidR="00963E67">
        <w:t>)</w:t>
      </w:r>
      <w:r w:rsidR="0016362D">
        <w:t>.</w:t>
      </w:r>
    </w:p>
    <w:p w:rsidR="00C2622C" w:rsidRDefault="00C2622C" w:rsidP="00B03559">
      <w:pPr>
        <w:pStyle w:val="Bulletpoints"/>
      </w:pPr>
      <w:r>
        <w:t xml:space="preserve">Reference to backlog planned maintenance on corporate buildings </w:t>
      </w:r>
      <w:r w:rsidR="00361BB6">
        <w:t>(Appendix A</w:t>
      </w:r>
      <w:r>
        <w:t xml:space="preserve"> paragraph 11</w:t>
      </w:r>
      <w:r w:rsidR="0016362D">
        <w:t>).</w:t>
      </w:r>
    </w:p>
    <w:p w:rsidR="00C2622C" w:rsidRPr="001356F1" w:rsidRDefault="00C2622C" w:rsidP="00B03559">
      <w:pPr>
        <w:pStyle w:val="Bulletpoints"/>
      </w:pPr>
      <w:r>
        <w:t xml:space="preserve">Reference to property purchases </w:t>
      </w:r>
      <w:proofErr w:type="gramStart"/>
      <w:r w:rsidR="0016362D">
        <w:t>(</w:t>
      </w:r>
      <w:r>
        <w:t xml:space="preserve"> Appendix</w:t>
      </w:r>
      <w:proofErr w:type="gramEnd"/>
      <w:r>
        <w:t xml:space="preserve"> A paragraph 15</w:t>
      </w:r>
      <w:r w:rsidR="0016362D">
        <w:t>).</w:t>
      </w:r>
      <w:r>
        <w:t xml:space="preserve"> 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A3403D" w:rsidP="005570B5">
      <w:pPr>
        <w:pStyle w:val="ListParagraph"/>
      </w:pPr>
      <w:r>
        <w:t xml:space="preserve">The </w:t>
      </w:r>
      <w:r w:rsidR="00284ABD">
        <w:t>C</w:t>
      </w:r>
      <w:r w:rsidR="00585033">
        <w:t xml:space="preserve">apital </w:t>
      </w:r>
      <w:r w:rsidR="00284ABD">
        <w:t>S</w:t>
      </w:r>
      <w:r w:rsidR="00585033">
        <w:t>trategy provides a rationale for evaluating, managing and monitoring the Council</w:t>
      </w:r>
      <w:r w:rsidR="00284ABD">
        <w:t>’</w:t>
      </w:r>
      <w:r w:rsidR="00585033">
        <w:t xml:space="preserve">s Capital Programme in order to secure delivery of the </w:t>
      </w:r>
      <w:r w:rsidR="00284ABD">
        <w:t>P</w:t>
      </w:r>
      <w:r w:rsidR="00585033">
        <w:t>rogramme and its objectives in the most cost effective manner.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A3403D" w:rsidP="005570B5">
      <w:pPr>
        <w:pStyle w:val="ListParagraph"/>
      </w:pPr>
      <w:r>
        <w:t>There are no legal implications directly relevant to this report</w:t>
      </w:r>
      <w:r w:rsidR="00E87F7A" w:rsidRPr="001356F1">
        <w:t>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BC69A4" w:rsidRPr="001356F1" w:rsidRDefault="00A3403D" w:rsidP="005570B5">
      <w:pPr>
        <w:pStyle w:val="ListParagraph"/>
      </w:pPr>
      <w:r>
        <w:t>There are not risks directly arising from this report.  Risks to delivery of individual projects are identified and monitored as part of the capital scheme approval and monitoring process</w:t>
      </w:r>
      <w:r w:rsidR="0093067A" w:rsidRPr="001356F1">
        <w:t>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Default="00A3403D" w:rsidP="005570B5">
      <w:pPr>
        <w:pStyle w:val="ListParagraph"/>
      </w:pPr>
      <w:r>
        <w:t xml:space="preserve">The procurement of capital </w:t>
      </w:r>
      <w:r w:rsidR="0016362D">
        <w:t xml:space="preserve">works </w:t>
      </w:r>
      <w:r>
        <w:t xml:space="preserve">will be undertaken in line with the Council’s policies to support the payment of a living wage and making apprenticeship </w:t>
      </w:r>
      <w:r w:rsidR="00284ABD">
        <w:t xml:space="preserve">and training </w:t>
      </w:r>
      <w:r>
        <w:t xml:space="preserve">opportunities available to local people.  Many of the facilities funded out of the Capital Programme – such as community centres and social housing – will </w:t>
      </w:r>
      <w:r w:rsidR="0016362D">
        <w:t>facilitate</w:t>
      </w:r>
      <w:r>
        <w:t xml:space="preserve"> the narrowing of inequality in Oxford.  There is no requirement to provide an Equalities Impact Assessment for this report</w:t>
      </w:r>
      <w:r w:rsidR="00E87F7A" w:rsidRPr="001356F1">
        <w:t>.</w:t>
      </w:r>
    </w:p>
    <w:p w:rsidR="00BE2B8E" w:rsidRDefault="00BE2B8E" w:rsidP="00BE2B8E"/>
    <w:p w:rsidR="00BE2B8E" w:rsidRDefault="00BE2B8E" w:rsidP="00BE2B8E"/>
    <w:p w:rsidR="00963E67" w:rsidRPr="001356F1" w:rsidRDefault="00963E67" w:rsidP="00BE2B8E"/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r>
              <w:t xml:space="preserve">Anna </w:t>
            </w:r>
            <w:proofErr w:type="spellStart"/>
            <w:r>
              <w:t>Winship</w:t>
            </w:r>
            <w:proofErr w:type="spellEnd"/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r>
              <w:t>Management Accounting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r>
              <w:t>Financial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r>
              <w:t>01865 252517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awinship@oxford.gov.uk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6C" w:rsidRDefault="00154A6C" w:rsidP="004A6D2F">
      <w:r>
        <w:separator/>
      </w:r>
    </w:p>
  </w:endnote>
  <w:endnote w:type="continuationSeparator" w:id="0">
    <w:p w:rsidR="00154A6C" w:rsidRDefault="00154A6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D" w:rsidRDefault="00A3403D" w:rsidP="004A6D2F">
    <w:pPr>
      <w:pStyle w:val="Footer"/>
    </w:pPr>
    <w:r>
      <w:t>Do not use a footer or page numbers.</w:t>
    </w:r>
  </w:p>
  <w:p w:rsidR="00A3403D" w:rsidRDefault="00A3403D" w:rsidP="004A6D2F">
    <w:pPr>
      <w:pStyle w:val="Footer"/>
    </w:pPr>
  </w:p>
  <w:p w:rsidR="00A3403D" w:rsidRDefault="00A3403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D" w:rsidRDefault="00A3403D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6C" w:rsidRDefault="00154A6C" w:rsidP="004A6D2F">
      <w:r>
        <w:separator/>
      </w:r>
    </w:p>
  </w:footnote>
  <w:footnote w:type="continuationSeparator" w:id="0">
    <w:p w:rsidR="00154A6C" w:rsidRDefault="00154A6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D" w:rsidRDefault="00B878C3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3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37900"/>
    <w:rsid w:val="0014128E"/>
    <w:rsid w:val="00151888"/>
    <w:rsid w:val="00154A6C"/>
    <w:rsid w:val="0016362D"/>
    <w:rsid w:val="00170A2D"/>
    <w:rsid w:val="001808BC"/>
    <w:rsid w:val="00182B81"/>
    <w:rsid w:val="0018619D"/>
    <w:rsid w:val="001A011E"/>
    <w:rsid w:val="001A066A"/>
    <w:rsid w:val="001A13E6"/>
    <w:rsid w:val="001A5731"/>
    <w:rsid w:val="001B1033"/>
    <w:rsid w:val="001B42C3"/>
    <w:rsid w:val="001C5D5E"/>
    <w:rsid w:val="001D5D54"/>
    <w:rsid w:val="001D678D"/>
    <w:rsid w:val="001E03F8"/>
    <w:rsid w:val="001E1678"/>
    <w:rsid w:val="001E3376"/>
    <w:rsid w:val="001E5235"/>
    <w:rsid w:val="002069B3"/>
    <w:rsid w:val="002329CF"/>
    <w:rsid w:val="00232F5B"/>
    <w:rsid w:val="00247C29"/>
    <w:rsid w:val="00260467"/>
    <w:rsid w:val="00263EA3"/>
    <w:rsid w:val="002753AF"/>
    <w:rsid w:val="00284ABD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1BB6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2E00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57661"/>
    <w:rsid w:val="00567E18"/>
    <w:rsid w:val="00575F5F"/>
    <w:rsid w:val="00581805"/>
    <w:rsid w:val="00585033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47E99"/>
    <w:rsid w:val="00855C66"/>
    <w:rsid w:val="00871EE4"/>
    <w:rsid w:val="008B293F"/>
    <w:rsid w:val="008B7371"/>
    <w:rsid w:val="008D3DDB"/>
    <w:rsid w:val="008F573F"/>
    <w:rsid w:val="009034EC"/>
    <w:rsid w:val="00915BA4"/>
    <w:rsid w:val="0093067A"/>
    <w:rsid w:val="00941C60"/>
    <w:rsid w:val="00963E67"/>
    <w:rsid w:val="00966D42"/>
    <w:rsid w:val="00971689"/>
    <w:rsid w:val="00973E90"/>
    <w:rsid w:val="00975B07"/>
    <w:rsid w:val="00980B4A"/>
    <w:rsid w:val="009B4319"/>
    <w:rsid w:val="009E3D0A"/>
    <w:rsid w:val="009E51FC"/>
    <w:rsid w:val="009F1D28"/>
    <w:rsid w:val="009F7618"/>
    <w:rsid w:val="00A0422A"/>
    <w:rsid w:val="00A04D23"/>
    <w:rsid w:val="00A06766"/>
    <w:rsid w:val="00A13765"/>
    <w:rsid w:val="00A21B12"/>
    <w:rsid w:val="00A23F80"/>
    <w:rsid w:val="00A3403D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03559"/>
    <w:rsid w:val="00B500CA"/>
    <w:rsid w:val="00B86314"/>
    <w:rsid w:val="00B878C3"/>
    <w:rsid w:val="00BA1C2E"/>
    <w:rsid w:val="00BB118B"/>
    <w:rsid w:val="00BB6E1F"/>
    <w:rsid w:val="00BC200B"/>
    <w:rsid w:val="00BC4756"/>
    <w:rsid w:val="00BC69A4"/>
    <w:rsid w:val="00BE0680"/>
    <w:rsid w:val="00BE139F"/>
    <w:rsid w:val="00BE2B8E"/>
    <w:rsid w:val="00BE305F"/>
    <w:rsid w:val="00BE7BA3"/>
    <w:rsid w:val="00BF5682"/>
    <w:rsid w:val="00BF7B09"/>
    <w:rsid w:val="00C20A95"/>
    <w:rsid w:val="00C2622C"/>
    <w:rsid w:val="00C2692F"/>
    <w:rsid w:val="00C3207C"/>
    <w:rsid w:val="00C33F64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751C2"/>
    <w:rsid w:val="00D869A1"/>
    <w:rsid w:val="00DA413F"/>
    <w:rsid w:val="00DA4584"/>
    <w:rsid w:val="00DA614B"/>
    <w:rsid w:val="00DC3060"/>
    <w:rsid w:val="00DE0FB2"/>
    <w:rsid w:val="00DF093E"/>
    <w:rsid w:val="00DF0EAC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1F27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244F"/>
    <w:rsid w:val="00FA624C"/>
    <w:rsid w:val="00FD0FAC"/>
    <w:rsid w:val="00FD1DFA"/>
    <w:rsid w:val="00FD4966"/>
    <w:rsid w:val="00FE57DC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8428-D889-4124-AFAD-D2E4C5D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80A024A7</Template>
  <TotalTime>12</TotalTime>
  <Pages>3</Pages>
  <Words>543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Winship</dc:creator>
  <cp:lastModifiedBy>sclaridge</cp:lastModifiedBy>
  <cp:revision>4</cp:revision>
  <cp:lastPrinted>2015-07-03T13:50:00Z</cp:lastPrinted>
  <dcterms:created xsi:type="dcterms:W3CDTF">2017-02-01T07:16:00Z</dcterms:created>
  <dcterms:modified xsi:type="dcterms:W3CDTF">2017-02-07T12:54:00Z</dcterms:modified>
</cp:coreProperties>
</file>